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4980"/>
      </w:tblGrid>
      <w:tr w:rsidR="009D1FCD" w:rsidRPr="009D1FCD" w:rsidTr="009D1F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1FCD" w:rsidRPr="009D1FCD" w:rsidRDefault="009D1FCD" w:rsidP="009D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Calibri" w:eastAsia="Times New Roman" w:hAnsi="Calibri" w:cs="Times New Roman"/>
                <w:sz w:val="36"/>
                <w:szCs w:val="36"/>
                <w:lang w:eastAsia="de-DE"/>
              </w:rPr>
              <w:t xml:space="preserve">Installation der </w:t>
            </w:r>
            <w:proofErr w:type="spellStart"/>
            <w:r w:rsidRPr="009D1FCD">
              <w:rPr>
                <w:rFonts w:ascii="Calibri" w:eastAsia="Times New Roman" w:hAnsi="Calibri" w:cs="Times New Roman"/>
                <w:sz w:val="36"/>
                <w:szCs w:val="36"/>
                <w:lang w:eastAsia="de-DE"/>
              </w:rPr>
              <w:t>Lonyung</w:t>
            </w:r>
            <w:proofErr w:type="spellEnd"/>
            <w:r w:rsidRPr="009D1FCD">
              <w:rPr>
                <w:rFonts w:ascii="Calibri" w:eastAsia="Times New Roman" w:hAnsi="Calibri" w:cs="Times New Roman"/>
                <w:sz w:val="36"/>
                <w:szCs w:val="36"/>
                <w:lang w:eastAsia="de-DE"/>
              </w:rPr>
              <w:t xml:space="preserve"> Vorschaltgerät kompatiblen LED-Röhren</w:t>
            </w:r>
            <w:r w:rsidRPr="009D1FC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1FCD" w:rsidRPr="009D1FCD" w:rsidTr="009D1FCD">
        <w:trPr>
          <w:tblCellSpacing w:w="15" w:type="dxa"/>
        </w:trPr>
        <w:tc>
          <w:tcPr>
            <w:tcW w:w="7680" w:type="dxa"/>
            <w:hideMark/>
          </w:tcPr>
          <w:p w:rsidR="009D1FCD" w:rsidRPr="009D1FCD" w:rsidRDefault="009D1FCD" w:rsidP="009D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Die </w:t>
            </w:r>
            <w:proofErr w:type="gramStart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Vorschaltgerät</w:t>
            </w:r>
            <w:proofErr w:type="gramEnd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kompatiblen LED-Röhren werden statt normalen Neonröhren ohne Änderung der Verschaltung eingebaut. Die Leuchten mit diesen Schaltungen sind daran zu erkennen, dass </w:t>
            </w:r>
            <w:r w:rsidRPr="009D1FC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kein</w:t>
            </w: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Starter (im Bild unten mit einem roten Pfeil gekennzeichnet) aus dem </w:t>
            </w:r>
            <w:proofErr w:type="spellStart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Leuchtengehäuse</w:t>
            </w:r>
            <w:proofErr w:type="spellEnd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ragt, manchmal ist das EVG (Bild rechts) zu sehen. </w:t>
            </w:r>
          </w:p>
          <w:p w:rsidR="009D1FCD" w:rsidRPr="009D1FCD" w:rsidRDefault="009D1FCD" w:rsidP="009D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905125" cy="2162175"/>
                  <wp:effectExtent l="0" t="0" r="9525" b="9525"/>
                  <wp:docPr id="4" name="Grafik 4" descr="C:\LED\homepage LEDCAT\Leuchte_ohne_Starter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ED\homepage LEDCAT\Leuchte_ohne_Starter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FCD" w:rsidRPr="009D1FCD" w:rsidRDefault="009D1FCD" w:rsidP="009D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So funktioniert die Installation:</w:t>
            </w: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 xml:space="preserve">Strom abdrehen, alte Neonröhre entfernen, </w:t>
            </w:r>
            <w:proofErr w:type="spellStart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Lonyung</w:t>
            </w:r>
            <w:proofErr w:type="spellEnd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Vorschaltgerät kompatible LED-Röhre einsetzen, Strom wieder einschalten, fertig.</w:t>
            </w:r>
          </w:p>
        </w:tc>
        <w:tc>
          <w:tcPr>
            <w:tcW w:w="0" w:type="auto"/>
            <w:hideMark/>
          </w:tcPr>
          <w:p w:rsidR="009D1FCD" w:rsidRPr="009D1FCD" w:rsidRDefault="009D1FCD" w:rsidP="009D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105150" cy="2352675"/>
                  <wp:effectExtent l="0" t="0" r="0" b="9525"/>
                  <wp:docPr id="3" name="Grafik 3" descr="C:\LED\homepage LEDCAT\E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LED\homepage LEDCAT\E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FCD" w:rsidRPr="009D1FCD" w:rsidRDefault="009D1FCD" w:rsidP="009D1FC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typisches EVG (elektronisches Vorschaltgerät)</w:t>
            </w:r>
          </w:p>
        </w:tc>
      </w:tr>
      <w:tr w:rsidR="009D1FCD" w:rsidRPr="009D1FCD" w:rsidTr="009D1FCD">
        <w:trPr>
          <w:trHeight w:val="1950"/>
          <w:tblCellSpacing w:w="15" w:type="dxa"/>
        </w:trPr>
        <w:tc>
          <w:tcPr>
            <w:tcW w:w="7680" w:type="dxa"/>
            <w:hideMark/>
          </w:tcPr>
          <w:p w:rsidR="009D1FCD" w:rsidRPr="009D1FCD" w:rsidRDefault="009D1FCD" w:rsidP="009D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Für alle an </w:t>
            </w:r>
            <w:proofErr w:type="spellStart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Elektornik</w:t>
            </w:r>
            <w:proofErr w:type="spellEnd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Interessierten: </w:t>
            </w: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 xml:space="preserve">In der Grafik rechts sehen Sie die Schaltung, wie sie in einer herkömmlichen Leuchte mit EVG verwendet wird. Die </w:t>
            </w:r>
            <w:proofErr w:type="spellStart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Lonyung</w:t>
            </w:r>
            <w:proofErr w:type="spellEnd"/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Vorschaltgerät kompatible LED-Röhre funktioniert ohne jegliche Änderung direkt am EVG (elektronisches Vorschaltgerät) </w:t>
            </w:r>
          </w:p>
        </w:tc>
        <w:tc>
          <w:tcPr>
            <w:tcW w:w="0" w:type="auto"/>
            <w:hideMark/>
          </w:tcPr>
          <w:p w:rsidR="009D1FCD" w:rsidRPr="009D1FCD" w:rsidRDefault="009D1FCD" w:rsidP="009D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105150" cy="1133475"/>
                  <wp:effectExtent l="0" t="0" r="0" b="9525"/>
                  <wp:docPr id="2" name="Grafik 2" descr="C:\LED\homepage LEDCAT\Schaltung_mit_E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LED\homepage LEDCAT\Schaltung_mit_E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CD" w:rsidRPr="009D1FCD" w:rsidTr="009D1FCD">
        <w:trPr>
          <w:trHeight w:val="1605"/>
          <w:tblCellSpacing w:w="15" w:type="dxa"/>
        </w:trPr>
        <w:tc>
          <w:tcPr>
            <w:tcW w:w="7680" w:type="dxa"/>
            <w:hideMark/>
          </w:tcPr>
          <w:p w:rsidR="009D1FCD" w:rsidRPr="009D1FCD" w:rsidRDefault="009D1FCD" w:rsidP="009D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Wenn keine bestehende Leuchte verwendet wird, dann schließen Sie die Phase an einer Seite der LED-Röhre (an welchen Pin dieser Seite ist egal da beide Pins miteinander verbunden sind) und den Nullleiter an die andere Seite der LED-Röhre (an welchen Pin dieser Seite ist ebenfalls egal, da beide Pins miteinander verbunden sind).</w:t>
            </w:r>
          </w:p>
        </w:tc>
        <w:tc>
          <w:tcPr>
            <w:tcW w:w="0" w:type="auto"/>
            <w:hideMark/>
          </w:tcPr>
          <w:p w:rsidR="009D1FCD" w:rsidRPr="009D1FCD" w:rsidRDefault="009D1FCD" w:rsidP="009D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1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105150" cy="904875"/>
                  <wp:effectExtent l="0" t="0" r="0" b="9525"/>
                  <wp:docPr id="1" name="Grafik 1" descr="C:\LED\homepage LEDCAT\direkter_Anschluss_EVG_komp_LED_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LED\homepage LEDCAT\direkter_Anschluss_EVG_komp_LED_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E36" w:rsidRDefault="004E3E36" w:rsidP="009D1FCD">
      <w:pPr>
        <w:ind w:left="-1134"/>
      </w:pPr>
      <w:bookmarkStart w:id="0" w:name="_GoBack"/>
      <w:bookmarkEnd w:id="0"/>
    </w:p>
    <w:sectPr w:rsidR="004E3E36" w:rsidSect="009D1FCD"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D"/>
    <w:rsid w:val="004E3E36"/>
    <w:rsid w:val="009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E695-538B-460B-BEDF-46B96B7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Vavra</dc:creator>
  <cp:keywords/>
  <dc:description/>
  <cp:lastModifiedBy>Gerhard Vavra</cp:lastModifiedBy>
  <cp:revision>1</cp:revision>
  <dcterms:created xsi:type="dcterms:W3CDTF">2014-05-21T06:10:00Z</dcterms:created>
  <dcterms:modified xsi:type="dcterms:W3CDTF">2014-05-21T06:11:00Z</dcterms:modified>
</cp:coreProperties>
</file>